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5795" w14:textId="511260E4" w:rsidR="00E80E81" w:rsidRPr="002A4413" w:rsidRDefault="00E4713C">
      <w:pPr>
        <w:rPr>
          <w:b/>
          <w:bCs/>
          <w:sz w:val="24"/>
          <w:szCs w:val="24"/>
        </w:rPr>
      </w:pPr>
      <w:r w:rsidRPr="002A4413">
        <w:rPr>
          <w:b/>
          <w:bCs/>
          <w:sz w:val="24"/>
          <w:szCs w:val="24"/>
        </w:rPr>
        <w:t xml:space="preserve">ASMA </w:t>
      </w:r>
      <w:r w:rsidR="00870D76" w:rsidRPr="002A4413">
        <w:rPr>
          <w:b/>
          <w:bCs/>
          <w:sz w:val="24"/>
          <w:szCs w:val="24"/>
        </w:rPr>
        <w:t>P</w:t>
      </w:r>
      <w:r w:rsidRPr="002A4413">
        <w:rPr>
          <w:b/>
          <w:bCs/>
          <w:sz w:val="24"/>
          <w:szCs w:val="24"/>
        </w:rPr>
        <w:t xml:space="preserve">osition </w:t>
      </w:r>
      <w:r w:rsidR="00870D76" w:rsidRPr="002A4413">
        <w:rPr>
          <w:b/>
          <w:bCs/>
          <w:sz w:val="24"/>
          <w:szCs w:val="24"/>
        </w:rPr>
        <w:t>Statement</w:t>
      </w:r>
      <w:r w:rsidRPr="002A4413">
        <w:rPr>
          <w:b/>
          <w:bCs/>
          <w:sz w:val="24"/>
          <w:szCs w:val="24"/>
        </w:rPr>
        <w:t>:</w:t>
      </w:r>
    </w:p>
    <w:p w14:paraId="7339DCEB" w14:textId="0DDD078E" w:rsidR="00E4713C" w:rsidRDefault="00E4713C"/>
    <w:p w14:paraId="715CB67D" w14:textId="77777777" w:rsidR="00E4713C" w:rsidRDefault="00E4713C" w:rsidP="00E4713C"/>
    <w:p w14:paraId="0CD1BA98" w14:textId="78F6CB07" w:rsidR="00E4713C" w:rsidRDefault="00E4713C" w:rsidP="00E4713C">
      <w:r>
        <w:t xml:space="preserve">1.  Scope of practice:  ASMA supports safe, </w:t>
      </w:r>
      <w:r w:rsidR="00747A60">
        <w:t>effective,</w:t>
      </w:r>
      <w:r>
        <w:t xml:space="preserve"> and high quality medical care.  </w:t>
      </w:r>
      <w:r w:rsidR="00870D76">
        <w:t>ASMA supports practitioners providing car</w:t>
      </w:r>
      <w:r>
        <w:t>e within their training and expertise.  </w:t>
      </w:r>
    </w:p>
    <w:p w14:paraId="64F02352" w14:textId="1C06BD98" w:rsidR="00E4713C" w:rsidRDefault="00004BEF" w:rsidP="00E4713C">
      <w:r>
        <w:t>ASMA</w:t>
      </w:r>
      <w:r w:rsidR="00E4713C">
        <w:t xml:space="preserve"> </w:t>
      </w:r>
      <w:r w:rsidR="00E4713C">
        <w:rPr>
          <w:u w:val="single"/>
        </w:rPr>
        <w:t>do</w:t>
      </w:r>
      <w:r>
        <w:rPr>
          <w:u w:val="single"/>
        </w:rPr>
        <w:t>es</w:t>
      </w:r>
      <w:r w:rsidR="00E4713C">
        <w:rPr>
          <w:u w:val="single"/>
        </w:rPr>
        <w:t xml:space="preserve"> not </w:t>
      </w:r>
      <w:r w:rsidR="00E4713C">
        <w:t>support the naturopathic providers' desire to expand into prescribing medications or performing surgical procedures.</w:t>
      </w:r>
    </w:p>
    <w:p w14:paraId="6B87F347" w14:textId="77777777" w:rsidR="00E4713C" w:rsidRDefault="00E4713C" w:rsidP="00E4713C"/>
    <w:p w14:paraId="598CD99C" w14:textId="24BB12B6" w:rsidR="00E4713C" w:rsidRDefault="00E4713C" w:rsidP="00E4713C">
      <w:r>
        <w:t xml:space="preserve">2.  Licensing of </w:t>
      </w:r>
      <w:r w:rsidR="00456F5A">
        <w:t>P</w:t>
      </w:r>
      <w:r>
        <w:t>hysicians</w:t>
      </w:r>
      <w:r w:rsidR="00456F5A">
        <w:t xml:space="preserve"> and Physician Assistants</w:t>
      </w:r>
      <w:r>
        <w:t xml:space="preserve">:  ASMA supports thorough and careful granting of </w:t>
      </w:r>
      <w:r w:rsidR="00870D76">
        <w:t xml:space="preserve">state </w:t>
      </w:r>
      <w:r>
        <w:t xml:space="preserve">licenses to </w:t>
      </w:r>
      <w:r w:rsidR="003729F4">
        <w:t xml:space="preserve">physician and PA </w:t>
      </w:r>
      <w:r>
        <w:t>applicants.  ASMA also urges that this process be efficient and streamlined, with clear communication to the applicants.</w:t>
      </w:r>
      <w:r w:rsidR="00870D76">
        <w:t xml:space="preserve">  ASMA supports modernization of the licensing process and timely processing of license applications. </w:t>
      </w:r>
    </w:p>
    <w:p w14:paraId="0B852864" w14:textId="77777777" w:rsidR="00E4713C" w:rsidRDefault="00E4713C" w:rsidP="00E4713C"/>
    <w:p w14:paraId="0E6B3B54" w14:textId="7C4C7320" w:rsidR="00E4713C" w:rsidRDefault="00E4713C" w:rsidP="00E4713C">
      <w:r>
        <w:t xml:space="preserve">3.  WWAMI:  ASMA supports full and consistent funding of </w:t>
      </w:r>
      <w:r w:rsidR="00456F5A">
        <w:t xml:space="preserve">the </w:t>
      </w:r>
      <w:r>
        <w:t>medical school for Alaska students</w:t>
      </w:r>
      <w:r w:rsidR="00576F78">
        <w:t>,</w:t>
      </w:r>
      <w:r w:rsidR="00576F78" w:rsidRPr="00576F78">
        <w:t xml:space="preserve"> </w:t>
      </w:r>
      <w:r w:rsidR="00576F78">
        <w:t>the WWAMI program</w:t>
      </w:r>
      <w:r>
        <w:t>.</w:t>
      </w:r>
    </w:p>
    <w:p w14:paraId="42CFC56E" w14:textId="77777777" w:rsidR="00E4713C" w:rsidRDefault="00E4713C" w:rsidP="00E4713C"/>
    <w:p w14:paraId="37D5E47A" w14:textId="64198021" w:rsidR="00E4713C" w:rsidRDefault="00E4713C" w:rsidP="00E4713C">
      <w:r>
        <w:t xml:space="preserve">4.  All Payor Claims Data Base:  ASMA supports the </w:t>
      </w:r>
      <w:proofErr w:type="gramStart"/>
      <w:r>
        <w:t>all</w:t>
      </w:r>
      <w:proofErr w:type="gramEnd"/>
      <w:r w:rsidR="00456F5A">
        <w:t xml:space="preserve"> </w:t>
      </w:r>
      <w:r>
        <w:t xml:space="preserve">payor claims data base, to </w:t>
      </w:r>
      <w:r w:rsidR="00870D76">
        <w:t>e</w:t>
      </w:r>
      <w:r>
        <w:t xml:space="preserve">nsure comprehensive and adequate data </w:t>
      </w:r>
      <w:r w:rsidR="00870D76">
        <w:t>to</w:t>
      </w:r>
      <w:r>
        <w:t xml:space="preserve"> guide policy decisions.</w:t>
      </w:r>
    </w:p>
    <w:p w14:paraId="23AAFC28" w14:textId="77777777" w:rsidR="00E4713C" w:rsidRDefault="00E4713C" w:rsidP="00E4713C"/>
    <w:p w14:paraId="71984A38" w14:textId="7281B198" w:rsidR="00E4713C" w:rsidRDefault="00E4713C" w:rsidP="00E4713C">
      <w:r>
        <w:t xml:space="preserve">5.  Telemedicine:  ASMA supports high quality telemedicine services that decrease the travel burden for </w:t>
      </w:r>
      <w:r w:rsidR="00421846">
        <w:t>patients and</w:t>
      </w:r>
      <w:r>
        <w:t xml:space="preserve"> improve access to care</w:t>
      </w:r>
      <w:r w:rsidR="00870D76">
        <w:t xml:space="preserve"> for Alaskans</w:t>
      </w:r>
      <w:r>
        <w:t xml:space="preserve">.  ASMA prefers that all patients in Alaska have an Alaska-based primary care physician or </w:t>
      </w:r>
      <w:r w:rsidR="00870D76">
        <w:t xml:space="preserve">non-physician </w:t>
      </w:r>
      <w:r>
        <w:t>provider</w:t>
      </w:r>
      <w:r w:rsidR="00870D76">
        <w:t xml:space="preserve"> (NPP)</w:t>
      </w:r>
      <w:r>
        <w:t xml:space="preserve">, who coordinates and directs the patient's care.  ASMA is cautious about out of state care that is not </w:t>
      </w:r>
      <w:r w:rsidR="00870D76">
        <w:t xml:space="preserve">provided </w:t>
      </w:r>
      <w:r>
        <w:t xml:space="preserve">in collaboration with the patient's primary care </w:t>
      </w:r>
      <w:r w:rsidR="00870D76">
        <w:t>practitioner</w:t>
      </w:r>
      <w:r>
        <w:t>.</w:t>
      </w:r>
    </w:p>
    <w:p w14:paraId="7A642F51" w14:textId="77777777" w:rsidR="00E4713C" w:rsidRDefault="00E4713C" w:rsidP="00E4713C"/>
    <w:p w14:paraId="707822B2" w14:textId="03651855" w:rsidR="00E4713C" w:rsidRDefault="00E4713C" w:rsidP="00E4713C">
      <w:r>
        <w:t xml:space="preserve">6.  </w:t>
      </w:r>
      <w:r w:rsidR="002A4413">
        <w:t xml:space="preserve">Substance use disorder </w:t>
      </w:r>
      <w:r w:rsidR="00456F5A">
        <w:t>treatment</w:t>
      </w:r>
      <w:r>
        <w:t xml:space="preserve"> </w:t>
      </w:r>
      <w:r w:rsidR="00870D76">
        <w:t>–</w:t>
      </w:r>
      <w:r>
        <w:t xml:space="preserve"> </w:t>
      </w:r>
      <w:r w:rsidR="00870D76">
        <w:t>Buprenorphine/naloxone (</w:t>
      </w:r>
      <w:r>
        <w:t>Suboxone</w:t>
      </w:r>
      <w:r w:rsidR="00870D76">
        <w:t>)</w:t>
      </w:r>
      <w:r>
        <w:t xml:space="preserve">:  ASMA supports the telemedicine prescribing </w:t>
      </w:r>
      <w:r w:rsidR="003846AB">
        <w:t>and monitoring of buprenorphine/naloxone (S</w:t>
      </w:r>
      <w:r>
        <w:t>uboxone</w:t>
      </w:r>
      <w:r w:rsidR="003846AB">
        <w:t>)</w:t>
      </w:r>
      <w:r>
        <w:t xml:space="preserve"> for opioid use disorder, without an in-person exam.</w:t>
      </w:r>
    </w:p>
    <w:p w14:paraId="4BD7F2A3" w14:textId="77777777" w:rsidR="00E4713C" w:rsidRDefault="00E4713C" w:rsidP="00E4713C"/>
    <w:p w14:paraId="36842750" w14:textId="1209D90C" w:rsidR="00E4713C" w:rsidRDefault="00E4713C" w:rsidP="00E4713C">
      <w:r>
        <w:t>7.  Public Health:  ASMA supports science-based public health initiatives and policy</w:t>
      </w:r>
      <w:r w:rsidR="003846AB">
        <w:t xml:space="preserve">.  </w:t>
      </w:r>
    </w:p>
    <w:p w14:paraId="25EBF610" w14:textId="339F46C9" w:rsidR="003729F4" w:rsidRPr="003729F4" w:rsidRDefault="003729F4" w:rsidP="00E4713C">
      <w:pPr>
        <w:rPr>
          <w:i/>
          <w:iCs/>
        </w:rPr>
      </w:pPr>
    </w:p>
    <w:p w14:paraId="2650C405" w14:textId="77777777" w:rsidR="003729F4" w:rsidRPr="00576F78" w:rsidRDefault="003729F4" w:rsidP="003729F4">
      <w:pPr>
        <w:numPr>
          <w:ilvl w:val="0"/>
          <w:numId w:val="1"/>
        </w:numPr>
        <w:spacing w:line="240" w:lineRule="auto"/>
        <w:textAlignment w:val="baseline"/>
        <w:rPr>
          <w:rFonts w:cstheme="minorHAnsi"/>
          <w:color w:val="000000"/>
        </w:rPr>
      </w:pPr>
      <w:r w:rsidRPr="00576F78">
        <w:rPr>
          <w:rFonts w:cstheme="minorHAnsi"/>
          <w:color w:val="000000"/>
        </w:rPr>
        <w:t>ASMA supports reducing the burden of vaccine-preventable disease and following the CDC immunization schedule.</w:t>
      </w:r>
    </w:p>
    <w:p w14:paraId="037CCA23" w14:textId="77777777" w:rsidR="003729F4" w:rsidRPr="00576F78" w:rsidRDefault="003729F4" w:rsidP="003729F4">
      <w:pPr>
        <w:numPr>
          <w:ilvl w:val="0"/>
          <w:numId w:val="1"/>
        </w:numPr>
        <w:spacing w:line="240" w:lineRule="auto"/>
        <w:textAlignment w:val="baseline"/>
        <w:rPr>
          <w:rFonts w:cstheme="minorHAnsi"/>
          <w:color w:val="000000"/>
        </w:rPr>
      </w:pPr>
      <w:r w:rsidRPr="00576F78">
        <w:rPr>
          <w:rFonts w:cstheme="minorHAnsi"/>
          <w:color w:val="000000"/>
        </w:rPr>
        <w:t>ASMA supports efforts to promote physical activity and achieving healthy body weight.</w:t>
      </w:r>
    </w:p>
    <w:p w14:paraId="65635DC8" w14:textId="77777777" w:rsidR="003729F4" w:rsidRPr="00576F78" w:rsidRDefault="003729F4" w:rsidP="003729F4">
      <w:pPr>
        <w:numPr>
          <w:ilvl w:val="0"/>
          <w:numId w:val="1"/>
        </w:numPr>
        <w:spacing w:line="240" w:lineRule="auto"/>
        <w:textAlignment w:val="baseline"/>
        <w:rPr>
          <w:rFonts w:cstheme="minorHAnsi"/>
          <w:color w:val="000000"/>
        </w:rPr>
      </w:pPr>
      <w:r w:rsidRPr="00576F78">
        <w:rPr>
          <w:rFonts w:cstheme="minorHAnsi"/>
          <w:color w:val="000000"/>
        </w:rPr>
        <w:t>ASMA supports efforts to reduce the burden of sexually transmitted infections and other infectious diseases.</w:t>
      </w:r>
    </w:p>
    <w:p w14:paraId="30119CEC" w14:textId="77777777" w:rsidR="003729F4" w:rsidRPr="00576F78" w:rsidRDefault="003729F4" w:rsidP="003729F4">
      <w:pPr>
        <w:numPr>
          <w:ilvl w:val="0"/>
          <w:numId w:val="1"/>
        </w:numPr>
        <w:spacing w:line="240" w:lineRule="auto"/>
        <w:textAlignment w:val="baseline"/>
        <w:rPr>
          <w:rFonts w:cstheme="minorHAnsi"/>
          <w:color w:val="000000"/>
        </w:rPr>
      </w:pPr>
      <w:r w:rsidRPr="00576F78">
        <w:rPr>
          <w:rFonts w:cstheme="minorHAnsi"/>
          <w:color w:val="000000"/>
        </w:rPr>
        <w:t>ASMA supports efforts to reduce the burden of mental health and substance use disorders.</w:t>
      </w:r>
    </w:p>
    <w:p w14:paraId="2EBDC65A" w14:textId="77777777" w:rsidR="003729F4" w:rsidRPr="00576F78" w:rsidRDefault="003729F4" w:rsidP="003729F4">
      <w:pPr>
        <w:numPr>
          <w:ilvl w:val="0"/>
          <w:numId w:val="1"/>
        </w:numPr>
        <w:spacing w:line="240" w:lineRule="auto"/>
        <w:textAlignment w:val="baseline"/>
        <w:rPr>
          <w:rFonts w:cstheme="minorHAnsi"/>
          <w:color w:val="000000"/>
        </w:rPr>
      </w:pPr>
      <w:r w:rsidRPr="00576F78">
        <w:rPr>
          <w:rFonts w:cstheme="minorHAnsi"/>
          <w:color w:val="000000"/>
        </w:rPr>
        <w:t>ASMA supports efforts to reduce the health burdens of homelessness.</w:t>
      </w:r>
    </w:p>
    <w:p w14:paraId="08764CE6" w14:textId="0E2554C8" w:rsidR="003729F4" w:rsidRPr="00576F78" w:rsidRDefault="003729F4" w:rsidP="00CF5B0B">
      <w:pPr>
        <w:numPr>
          <w:ilvl w:val="0"/>
          <w:numId w:val="1"/>
        </w:numPr>
        <w:spacing w:line="240" w:lineRule="auto"/>
        <w:textAlignment w:val="baseline"/>
      </w:pPr>
      <w:r w:rsidRPr="00576F78">
        <w:rPr>
          <w:rFonts w:cstheme="minorHAnsi"/>
          <w:color w:val="000000"/>
        </w:rPr>
        <w:t>ASMA supports efforts to address climate instability and its effect on health.</w:t>
      </w:r>
      <w:r w:rsidRPr="00576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6E50893" w14:textId="77777777" w:rsidR="00E4713C" w:rsidRDefault="00E4713C" w:rsidP="00E4713C"/>
    <w:p w14:paraId="0415FAC8" w14:textId="08062FDB" w:rsidR="003729F4" w:rsidRPr="00260F7E" w:rsidRDefault="00E4713C" w:rsidP="003729F4">
      <w:pPr>
        <w:rPr>
          <w:rFonts w:cstheme="minorHAnsi"/>
        </w:rPr>
      </w:pPr>
      <w:r>
        <w:t xml:space="preserve">8.  </w:t>
      </w:r>
      <w:r w:rsidRPr="00260F7E">
        <w:t xml:space="preserve">Anti-racism and equity:  ASMA supports </w:t>
      </w:r>
      <w:r w:rsidR="00006F71" w:rsidRPr="00260F7E">
        <w:t xml:space="preserve">anti-racism and </w:t>
      </w:r>
      <w:r w:rsidR="003729F4" w:rsidRPr="00260F7E">
        <w:rPr>
          <w:rFonts w:cstheme="minorHAnsi"/>
        </w:rPr>
        <w:t xml:space="preserve">non-discrimination </w:t>
      </w:r>
      <w:r w:rsidR="00006F71" w:rsidRPr="00260F7E">
        <w:rPr>
          <w:rFonts w:cstheme="minorHAnsi"/>
        </w:rPr>
        <w:t xml:space="preserve">in healthcare </w:t>
      </w:r>
      <w:r w:rsidR="003729F4" w:rsidRPr="00260F7E">
        <w:rPr>
          <w:rFonts w:cstheme="minorHAnsi"/>
        </w:rPr>
        <w:t xml:space="preserve">based on </w:t>
      </w:r>
      <w:hyperlink r:id="rId5" w:history="1">
        <w:r w:rsidR="003729F4" w:rsidRPr="00260F7E">
          <w:rPr>
            <w:rStyle w:val="Hyperlink"/>
            <w:rFonts w:cstheme="minorHAnsi"/>
            <w:color w:val="auto"/>
            <w:u w:val="none"/>
          </w:rPr>
          <w:t>race</w:t>
        </w:r>
      </w:hyperlink>
      <w:r w:rsidR="003729F4" w:rsidRPr="00260F7E">
        <w:rPr>
          <w:rFonts w:cstheme="minorHAnsi"/>
        </w:rPr>
        <w:t xml:space="preserve">, </w:t>
      </w:r>
      <w:hyperlink r:id="rId6" w:history="1">
        <w:r w:rsidR="003729F4" w:rsidRPr="00260F7E">
          <w:rPr>
            <w:rStyle w:val="Hyperlink"/>
            <w:rFonts w:cstheme="minorHAnsi"/>
            <w:color w:val="auto"/>
            <w:u w:val="none"/>
          </w:rPr>
          <w:t>color</w:t>
        </w:r>
      </w:hyperlink>
      <w:r w:rsidR="003729F4" w:rsidRPr="00260F7E">
        <w:rPr>
          <w:rFonts w:cstheme="minorHAnsi"/>
        </w:rPr>
        <w:t xml:space="preserve">, </w:t>
      </w:r>
      <w:hyperlink r:id="rId7" w:history="1">
        <w:r w:rsidR="003729F4" w:rsidRPr="00260F7E">
          <w:rPr>
            <w:rStyle w:val="Hyperlink"/>
            <w:rFonts w:cstheme="minorHAnsi"/>
            <w:color w:val="auto"/>
            <w:u w:val="none"/>
          </w:rPr>
          <w:t>religion</w:t>
        </w:r>
      </w:hyperlink>
      <w:r w:rsidR="003729F4" w:rsidRPr="00260F7E">
        <w:rPr>
          <w:rFonts w:cstheme="minorHAnsi"/>
        </w:rPr>
        <w:t xml:space="preserve">, </w:t>
      </w:r>
      <w:hyperlink r:id="rId8" w:history="1">
        <w:r w:rsidR="003729F4" w:rsidRPr="00260F7E">
          <w:rPr>
            <w:rStyle w:val="Hyperlink"/>
            <w:rFonts w:cstheme="minorHAnsi"/>
            <w:color w:val="auto"/>
            <w:u w:val="none"/>
          </w:rPr>
          <w:t>sex</w:t>
        </w:r>
      </w:hyperlink>
      <w:r w:rsidR="003729F4" w:rsidRPr="00260F7E">
        <w:rPr>
          <w:rFonts w:cstheme="minorHAnsi"/>
        </w:rPr>
        <w:t xml:space="preserve"> (including </w:t>
      </w:r>
      <w:hyperlink r:id="rId9" w:history="1">
        <w:r w:rsidR="003729F4" w:rsidRPr="00260F7E">
          <w:rPr>
            <w:rStyle w:val="Hyperlink"/>
            <w:rFonts w:cstheme="minorHAnsi"/>
            <w:color w:val="auto"/>
            <w:u w:val="none"/>
          </w:rPr>
          <w:t>pregnancy</w:t>
        </w:r>
      </w:hyperlink>
      <w:r w:rsidR="003729F4" w:rsidRPr="00260F7E">
        <w:rPr>
          <w:rFonts w:cstheme="minorHAnsi"/>
        </w:rPr>
        <w:t xml:space="preserve">, </w:t>
      </w:r>
      <w:hyperlink r:id="rId10" w:history="1">
        <w:r w:rsidR="003729F4" w:rsidRPr="00260F7E">
          <w:rPr>
            <w:rStyle w:val="Hyperlink"/>
            <w:rFonts w:cstheme="minorHAnsi"/>
            <w:color w:val="auto"/>
            <w:u w:val="none"/>
          </w:rPr>
          <w:t>sexual orientation</w:t>
        </w:r>
      </w:hyperlink>
      <w:r w:rsidR="003729F4" w:rsidRPr="00260F7E">
        <w:rPr>
          <w:rFonts w:cstheme="minorHAnsi"/>
        </w:rPr>
        <w:t xml:space="preserve">, or </w:t>
      </w:r>
      <w:hyperlink r:id="rId11" w:history="1">
        <w:r w:rsidR="003729F4" w:rsidRPr="00260F7E">
          <w:rPr>
            <w:rStyle w:val="Hyperlink"/>
            <w:rFonts w:cstheme="minorHAnsi"/>
            <w:color w:val="auto"/>
            <w:u w:val="none"/>
          </w:rPr>
          <w:t>gender identity</w:t>
        </w:r>
      </w:hyperlink>
      <w:r w:rsidR="003729F4" w:rsidRPr="00260F7E">
        <w:rPr>
          <w:rFonts w:cstheme="minorHAnsi"/>
        </w:rPr>
        <w:t xml:space="preserve">), </w:t>
      </w:r>
      <w:hyperlink r:id="rId12" w:history="1">
        <w:r w:rsidR="003729F4" w:rsidRPr="00260F7E">
          <w:rPr>
            <w:rStyle w:val="Hyperlink"/>
            <w:rFonts w:cstheme="minorHAnsi"/>
            <w:color w:val="auto"/>
            <w:u w:val="none"/>
          </w:rPr>
          <w:t>national origin</w:t>
        </w:r>
      </w:hyperlink>
      <w:r w:rsidR="003729F4" w:rsidRPr="00260F7E">
        <w:rPr>
          <w:rFonts w:cstheme="minorHAnsi"/>
        </w:rPr>
        <w:t xml:space="preserve">, </w:t>
      </w:r>
      <w:hyperlink r:id="rId13" w:history="1">
        <w:r w:rsidR="003729F4" w:rsidRPr="00260F7E">
          <w:rPr>
            <w:rStyle w:val="Hyperlink"/>
            <w:rFonts w:cstheme="minorHAnsi"/>
            <w:color w:val="auto"/>
            <w:u w:val="none"/>
          </w:rPr>
          <w:t>disability</w:t>
        </w:r>
      </w:hyperlink>
      <w:r w:rsidR="003729F4" w:rsidRPr="00260F7E">
        <w:rPr>
          <w:rFonts w:cstheme="minorHAnsi"/>
        </w:rPr>
        <w:t xml:space="preserve">, </w:t>
      </w:r>
      <w:hyperlink r:id="rId14" w:history="1">
        <w:r w:rsidR="003729F4" w:rsidRPr="00260F7E">
          <w:rPr>
            <w:rStyle w:val="Hyperlink"/>
            <w:rFonts w:cstheme="minorHAnsi"/>
            <w:color w:val="auto"/>
            <w:u w:val="none"/>
          </w:rPr>
          <w:t>age</w:t>
        </w:r>
      </w:hyperlink>
      <w:r w:rsidR="003729F4" w:rsidRPr="00260F7E">
        <w:rPr>
          <w:rFonts w:cstheme="minorHAnsi"/>
        </w:rPr>
        <w:t xml:space="preserve"> (40 or older) or </w:t>
      </w:r>
      <w:hyperlink r:id="rId15" w:history="1">
        <w:r w:rsidR="003729F4" w:rsidRPr="00260F7E">
          <w:rPr>
            <w:rStyle w:val="Hyperlink"/>
            <w:rFonts w:cstheme="minorHAnsi"/>
            <w:color w:val="auto"/>
            <w:u w:val="none"/>
          </w:rPr>
          <w:t>genetic information</w:t>
        </w:r>
      </w:hyperlink>
      <w:r w:rsidR="003729F4" w:rsidRPr="00260F7E">
        <w:rPr>
          <w:rFonts w:cstheme="minorHAnsi"/>
        </w:rPr>
        <w:t xml:space="preserve"> (including family medical history) </w:t>
      </w:r>
    </w:p>
    <w:p w14:paraId="6D0F9F28" w14:textId="77777777" w:rsidR="00E4713C" w:rsidRDefault="00E4713C" w:rsidP="00E4713C"/>
    <w:p w14:paraId="0B59AD22" w14:textId="77777777" w:rsidR="00E4713C" w:rsidRDefault="00E4713C" w:rsidP="00E4713C">
      <w:r>
        <w:t>9.  ASMA supports physician wellness, including rehabilitation and other services as needed.</w:t>
      </w:r>
    </w:p>
    <w:p w14:paraId="73778084" w14:textId="281F8765" w:rsidR="00E4713C" w:rsidRDefault="00E4713C"/>
    <w:p w14:paraId="5C99ECC8" w14:textId="181D8C40" w:rsidR="005725DF" w:rsidRDefault="005725DF"/>
    <w:p w14:paraId="409A33B0" w14:textId="318C4891" w:rsidR="005725DF" w:rsidRPr="005725DF" w:rsidRDefault="005725DF">
      <w:pPr>
        <w:rPr>
          <w:sz w:val="16"/>
          <w:szCs w:val="16"/>
        </w:rPr>
      </w:pPr>
      <w:r w:rsidRPr="005725DF">
        <w:rPr>
          <w:sz w:val="16"/>
          <w:szCs w:val="16"/>
        </w:rPr>
        <w:t>Adopted June 2022</w:t>
      </w:r>
    </w:p>
    <w:sectPr w:rsidR="005725DF" w:rsidRPr="005725DF" w:rsidSect="002A4413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1F6"/>
    <w:multiLevelType w:val="multilevel"/>
    <w:tmpl w:val="5B5E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513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3C"/>
    <w:rsid w:val="00004BEF"/>
    <w:rsid w:val="00006F71"/>
    <w:rsid w:val="00260F7E"/>
    <w:rsid w:val="002A4413"/>
    <w:rsid w:val="003729F4"/>
    <w:rsid w:val="003846AB"/>
    <w:rsid w:val="00421846"/>
    <w:rsid w:val="00456F5A"/>
    <w:rsid w:val="005725DF"/>
    <w:rsid w:val="00576F78"/>
    <w:rsid w:val="00747A60"/>
    <w:rsid w:val="00870D76"/>
    <w:rsid w:val="008A590D"/>
    <w:rsid w:val="00A26BAA"/>
    <w:rsid w:val="00B002CD"/>
    <w:rsid w:val="00E4713C"/>
    <w:rsid w:val="00E8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BC4E0"/>
  <w15:chartTrackingRefBased/>
  <w15:docId w15:val="{BD1E2D6B-1A75-4162-9864-EB477FC7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29F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729F4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eoc.gov/sex-based-discrimination" TargetMode="External"/><Relationship Id="rId13" Type="http://schemas.openxmlformats.org/officeDocument/2006/relationships/hyperlink" Target="https://www.eeoc.gov/disability-discrimination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eeoc.gov/religious-discrimination" TargetMode="External"/><Relationship Id="rId12" Type="http://schemas.openxmlformats.org/officeDocument/2006/relationships/hyperlink" Target="https://www.eeoc.gov/national-origin-discriminatio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www.eeoc.gov/racecolor-discrimination" TargetMode="External"/><Relationship Id="rId11" Type="http://schemas.openxmlformats.org/officeDocument/2006/relationships/hyperlink" Target="https://www.eeoc.gov/wysk/what-you-should-know-about-eeoc-and-enforcement-protections-lgbt-workers" TargetMode="External"/><Relationship Id="rId5" Type="http://schemas.openxmlformats.org/officeDocument/2006/relationships/hyperlink" Target="https://www.eeoc.gov/racecolor-discrimination" TargetMode="External"/><Relationship Id="rId15" Type="http://schemas.openxmlformats.org/officeDocument/2006/relationships/hyperlink" Target="https://www.eeoc.gov/genetic-information-discrimination" TargetMode="External"/><Relationship Id="rId10" Type="http://schemas.openxmlformats.org/officeDocument/2006/relationships/hyperlink" Target="https://www.eeoc.gov/wysk/what-you-should-know-about-eeoc-and-enforcement-protections-lgbt-workers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eeoc.gov/pregnancy-discrimination" TargetMode="External"/><Relationship Id="rId14" Type="http://schemas.openxmlformats.org/officeDocument/2006/relationships/hyperlink" Target="https://www.eeoc.gov/age-discrimin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49A412B82E74C9D4B6A7020A46C27" ma:contentTypeVersion="10" ma:contentTypeDescription="Create a new document." ma:contentTypeScope="" ma:versionID="8845373d74913b70356c7ab1a54643d2">
  <xsd:schema xmlns:xsd="http://www.w3.org/2001/XMLSchema" xmlns:xs="http://www.w3.org/2001/XMLSchema" xmlns:p="http://schemas.microsoft.com/office/2006/metadata/properties" xmlns:ns2="606141e3-ec3f-4def-ac8c-3ee8c056d469" targetNamespace="http://schemas.microsoft.com/office/2006/metadata/properties" ma:root="true" ma:fieldsID="391c7c72a82afccaeec8f544444dee4a" ns2:_="">
    <xsd:import namespace="606141e3-ec3f-4def-ac8c-3ee8c056d4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141e3-ec3f-4def-ac8c-3ee8c056d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63F91C-FA25-47DA-99F0-9542D66FC4FF}"/>
</file>

<file path=customXml/itemProps2.xml><?xml version="1.0" encoding="utf-8"?>
<ds:datastoreItem xmlns:ds="http://schemas.openxmlformats.org/officeDocument/2006/customXml" ds:itemID="{ADB20D04-D3FC-45EB-9E2B-FBFC2AF97DC6}"/>
</file>

<file path=customXml/itemProps3.xml><?xml version="1.0" encoding="utf-8"?>
<ds:datastoreItem xmlns:ds="http://schemas.openxmlformats.org/officeDocument/2006/customXml" ds:itemID="{8B81A448-A9C3-457A-84EC-7E38ABFC60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Ventgen</dc:creator>
  <cp:keywords/>
  <dc:description/>
  <cp:lastModifiedBy>Pam Ventgen</cp:lastModifiedBy>
  <cp:revision>2</cp:revision>
  <dcterms:created xsi:type="dcterms:W3CDTF">2022-06-15T23:15:00Z</dcterms:created>
  <dcterms:modified xsi:type="dcterms:W3CDTF">2022-06-15T23:15:00Z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0x01010051249A412B82E74C9D4B6A7020A46C27</vt:lpwstr>
  </property>
</Properties>
</file>